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91" w:rsidRPr="00CE1E91" w:rsidRDefault="00CE1E91" w:rsidP="00CE1E91">
      <w:pPr>
        <w:spacing w:after="0" w:line="240" w:lineRule="auto"/>
        <w:jc w:val="both"/>
        <w:rPr>
          <w:rFonts w:asciiTheme="majorBidi" w:eastAsia="Times New Roman" w:hAnsiTheme="majorBidi" w:cstheme="majorBidi"/>
          <w:b/>
          <w:bCs/>
          <w:sz w:val="24"/>
          <w:szCs w:val="24"/>
          <w:lang w:eastAsia="it-IT"/>
        </w:rPr>
      </w:pPr>
      <w:r w:rsidRPr="00CE1E91">
        <w:rPr>
          <w:rFonts w:asciiTheme="majorBidi" w:eastAsia="Times New Roman" w:hAnsiTheme="majorBidi" w:cstheme="majorBidi"/>
          <w:b/>
          <w:bCs/>
          <w:sz w:val="24"/>
          <w:szCs w:val="24"/>
          <w:lang w:eastAsia="it-IT"/>
        </w:rPr>
        <w:t>X domenica di Pentecoste</w:t>
      </w:r>
    </w:p>
    <w:p w:rsidR="00CE1E91" w:rsidRPr="00CE1E91" w:rsidRDefault="00CE1E91" w:rsidP="00CE1E91">
      <w:pPr>
        <w:spacing w:after="0" w:line="240" w:lineRule="auto"/>
        <w:jc w:val="both"/>
        <w:rPr>
          <w:rFonts w:asciiTheme="majorBidi" w:eastAsia="Times New Roman" w:hAnsiTheme="majorBidi" w:cstheme="majorBidi"/>
          <w:sz w:val="24"/>
          <w:szCs w:val="24"/>
          <w:lang w:eastAsia="it-IT"/>
        </w:rPr>
      </w:pPr>
      <w:r w:rsidRPr="00CE1E91">
        <w:rPr>
          <w:rFonts w:asciiTheme="majorBidi" w:eastAsia="Times New Roman" w:hAnsiTheme="majorBidi" w:cstheme="majorBidi"/>
          <w:sz w:val="24"/>
          <w:szCs w:val="24"/>
          <w:lang w:eastAsia="it-IT"/>
        </w:rPr>
        <w:t>(24 luglio 2016)</w:t>
      </w:r>
    </w:p>
    <w:p w:rsidR="00CE1E91" w:rsidRPr="00CE1E91" w:rsidRDefault="00CE1E91" w:rsidP="00CE1E91">
      <w:pPr>
        <w:spacing w:after="0" w:line="240" w:lineRule="auto"/>
        <w:jc w:val="both"/>
        <w:rPr>
          <w:rFonts w:asciiTheme="majorBidi" w:eastAsia="Times New Roman" w:hAnsiTheme="majorBidi" w:cstheme="majorBidi"/>
          <w:i/>
          <w:iCs/>
          <w:sz w:val="24"/>
          <w:szCs w:val="24"/>
          <w:lang w:eastAsia="it-IT"/>
        </w:rPr>
      </w:pPr>
    </w:p>
    <w:p w:rsidR="00CE1E91" w:rsidRPr="00CE1E91" w:rsidRDefault="00CE1E91" w:rsidP="00CE1E91">
      <w:pPr>
        <w:spacing w:after="0" w:line="240" w:lineRule="auto"/>
        <w:jc w:val="both"/>
        <w:rPr>
          <w:rFonts w:asciiTheme="majorBidi" w:eastAsia="Times New Roman" w:hAnsiTheme="majorBidi" w:cstheme="majorBidi"/>
          <w:i/>
          <w:iCs/>
          <w:sz w:val="24"/>
          <w:szCs w:val="24"/>
          <w:lang w:eastAsia="it-IT"/>
        </w:rPr>
      </w:pPr>
      <w:r w:rsidRPr="00CE1E91">
        <w:rPr>
          <w:rFonts w:asciiTheme="majorBidi" w:eastAsia="Times New Roman" w:hAnsiTheme="majorBidi" w:cstheme="majorBidi"/>
          <w:i/>
          <w:iCs/>
          <w:sz w:val="24"/>
          <w:szCs w:val="24"/>
          <w:lang w:eastAsia="it-IT"/>
        </w:rPr>
        <w:t>1Re 3,5-15</w:t>
      </w:r>
    </w:p>
    <w:p w:rsidR="00CE1E91" w:rsidRPr="00CE1E91" w:rsidRDefault="00CE1E91" w:rsidP="00CE1E91">
      <w:pPr>
        <w:spacing w:after="0" w:line="240" w:lineRule="auto"/>
        <w:jc w:val="both"/>
        <w:rPr>
          <w:rFonts w:asciiTheme="majorBidi" w:eastAsia="Times New Roman" w:hAnsiTheme="majorBidi" w:cstheme="majorBidi"/>
          <w:i/>
          <w:iCs/>
          <w:sz w:val="24"/>
          <w:szCs w:val="24"/>
          <w:lang w:eastAsia="it-IT"/>
        </w:rPr>
      </w:pPr>
      <w:r w:rsidRPr="00CE1E91">
        <w:rPr>
          <w:rFonts w:asciiTheme="majorBidi" w:eastAsia="Times New Roman" w:hAnsiTheme="majorBidi" w:cstheme="majorBidi"/>
          <w:i/>
          <w:iCs/>
          <w:sz w:val="24"/>
          <w:szCs w:val="24"/>
          <w:lang w:eastAsia="it-IT"/>
        </w:rPr>
        <w:t>1Cor 3,18-23</w:t>
      </w:r>
    </w:p>
    <w:p w:rsidR="00CE1E91" w:rsidRPr="00CE1E91" w:rsidRDefault="00CE1E91" w:rsidP="00CE1E91">
      <w:pPr>
        <w:spacing w:after="0" w:line="240" w:lineRule="auto"/>
        <w:jc w:val="both"/>
        <w:rPr>
          <w:rFonts w:asciiTheme="majorBidi" w:eastAsia="Times New Roman" w:hAnsiTheme="majorBidi" w:cstheme="majorBidi"/>
          <w:sz w:val="24"/>
          <w:szCs w:val="24"/>
          <w:lang w:eastAsia="it-IT"/>
        </w:rPr>
      </w:pPr>
      <w:proofErr w:type="spellStart"/>
      <w:r w:rsidRPr="00CE1E91">
        <w:rPr>
          <w:rFonts w:asciiTheme="majorBidi" w:eastAsia="Times New Roman" w:hAnsiTheme="majorBidi" w:cstheme="majorBidi"/>
          <w:i/>
          <w:iCs/>
          <w:sz w:val="24"/>
          <w:szCs w:val="24"/>
          <w:lang w:eastAsia="it-IT"/>
        </w:rPr>
        <w:t>Lc</w:t>
      </w:r>
      <w:proofErr w:type="spellEnd"/>
      <w:r w:rsidRPr="00CE1E91">
        <w:rPr>
          <w:rFonts w:asciiTheme="majorBidi" w:eastAsia="Times New Roman" w:hAnsiTheme="majorBidi" w:cstheme="majorBidi"/>
          <w:i/>
          <w:iCs/>
          <w:sz w:val="24"/>
          <w:szCs w:val="24"/>
          <w:lang w:eastAsia="it-IT"/>
        </w:rPr>
        <w:t xml:space="preserve"> 18,24b-30</w:t>
      </w:r>
    </w:p>
    <w:p w:rsidR="00CE1E91" w:rsidRDefault="00CE1E91" w:rsidP="00CE1E91">
      <w:pPr>
        <w:spacing w:after="0" w:line="240" w:lineRule="auto"/>
        <w:rPr>
          <w:rFonts w:ascii="Times New Roman" w:hAnsi="Times New Roman" w:cs="Times New Roman"/>
          <w:b/>
          <w:bCs/>
          <w:sz w:val="24"/>
          <w:szCs w:val="24"/>
        </w:rPr>
      </w:pPr>
    </w:p>
    <w:p w:rsidR="001C62E9" w:rsidRPr="00CE1E91" w:rsidRDefault="001C62E9" w:rsidP="00CE1E91">
      <w:pPr>
        <w:spacing w:after="0" w:line="240" w:lineRule="auto"/>
        <w:rPr>
          <w:rFonts w:ascii="Times New Roman" w:hAnsi="Times New Roman" w:cs="Times New Roman"/>
          <w:b/>
          <w:bCs/>
          <w:sz w:val="24"/>
          <w:szCs w:val="24"/>
        </w:rPr>
      </w:pPr>
      <w:r w:rsidRPr="00CE1E91">
        <w:rPr>
          <w:rFonts w:ascii="Times New Roman" w:hAnsi="Times New Roman" w:cs="Times New Roman"/>
          <w:b/>
          <w:bCs/>
          <w:sz w:val="24"/>
          <w:szCs w:val="24"/>
        </w:rPr>
        <w:t>IL CAMMELLO E LA CRUNA</w:t>
      </w:r>
    </w:p>
    <w:p w:rsidR="001E58EE" w:rsidRPr="00CE1E91" w:rsidRDefault="001C62E9" w:rsidP="00CE1E91">
      <w:pPr>
        <w:widowControl w:val="0"/>
        <w:spacing w:after="0" w:line="240" w:lineRule="auto"/>
        <w:jc w:val="both"/>
        <w:rPr>
          <w:rFonts w:ascii="Times New Roman" w:hAnsi="Times New Roman" w:cs="Times New Roman"/>
          <w:sz w:val="24"/>
          <w:szCs w:val="24"/>
        </w:rPr>
      </w:pPr>
      <w:r w:rsidRPr="00CE1E91">
        <w:rPr>
          <w:rFonts w:ascii="Times New Roman" w:hAnsi="Times New Roman" w:cs="Times New Roman"/>
          <w:sz w:val="24"/>
          <w:szCs w:val="24"/>
        </w:rPr>
        <w:t>Prima e te</w:t>
      </w:r>
      <w:r w:rsidR="001A79A9" w:rsidRPr="00CE1E91">
        <w:rPr>
          <w:rFonts w:ascii="Times New Roman" w:hAnsi="Times New Roman" w:cs="Times New Roman"/>
          <w:sz w:val="24"/>
          <w:szCs w:val="24"/>
        </w:rPr>
        <w:t>rza lettura di questa domenica  rispondono ad</w:t>
      </w:r>
      <w:r w:rsidRPr="00CE1E91">
        <w:rPr>
          <w:rFonts w:ascii="Times New Roman" w:hAnsi="Times New Roman" w:cs="Times New Roman"/>
          <w:sz w:val="24"/>
          <w:szCs w:val="24"/>
        </w:rPr>
        <w:t xml:space="preserve"> una domanda: che cosa è decisivo nella vita? Salomone il grande sovrano vissuto un millennio prima di Cristo, risponde alla nostra domanda con una preghiera rivolta a Dio perché gli conceda sapienza piuttosto che </w:t>
      </w:r>
      <w:r w:rsidR="0043401A" w:rsidRPr="00CE1E91">
        <w:rPr>
          <w:rFonts w:ascii="Times New Roman" w:hAnsi="Times New Roman" w:cs="Times New Roman"/>
          <w:sz w:val="24"/>
          <w:szCs w:val="24"/>
        </w:rPr>
        <w:t xml:space="preserve">ricchezza.  E infatti la </w:t>
      </w:r>
      <w:r w:rsidR="00930EBB" w:rsidRPr="00CE1E91">
        <w:rPr>
          <w:rFonts w:ascii="Times New Roman" w:hAnsi="Times New Roman" w:cs="Times New Roman"/>
          <w:sz w:val="24"/>
          <w:szCs w:val="24"/>
        </w:rPr>
        <w:t>S</w:t>
      </w:r>
      <w:r w:rsidR="0043401A" w:rsidRPr="00CE1E91">
        <w:rPr>
          <w:rFonts w:ascii="Times New Roman" w:hAnsi="Times New Roman" w:cs="Times New Roman"/>
          <w:sz w:val="24"/>
          <w:szCs w:val="24"/>
        </w:rPr>
        <w:t xml:space="preserve">crittura sacra celebra Salomone così: “Dio concesse a Salomone sapienza e intelligenza molto grandi e una mente vasta come la sabbia che è sulla spiaggia del </w:t>
      </w:r>
      <w:proofErr w:type="spellStart"/>
      <w:r w:rsidR="0043401A" w:rsidRPr="00CE1E91">
        <w:rPr>
          <w:rFonts w:ascii="Times New Roman" w:hAnsi="Times New Roman" w:cs="Times New Roman"/>
          <w:sz w:val="24"/>
          <w:szCs w:val="24"/>
        </w:rPr>
        <w:t>mare…Da</w:t>
      </w:r>
      <w:proofErr w:type="spellEnd"/>
      <w:r w:rsidR="0043401A" w:rsidRPr="00CE1E91">
        <w:rPr>
          <w:rFonts w:ascii="Times New Roman" w:hAnsi="Times New Roman" w:cs="Times New Roman"/>
          <w:sz w:val="24"/>
          <w:szCs w:val="24"/>
        </w:rPr>
        <w:t xml:space="preserve"> tutte le nazioni venivano per ascoltare per ascoltare la sapienza di </w:t>
      </w:r>
      <w:proofErr w:type="spellStart"/>
      <w:r w:rsidR="0043401A" w:rsidRPr="00CE1E91">
        <w:rPr>
          <w:rFonts w:ascii="Times New Roman" w:hAnsi="Times New Roman" w:cs="Times New Roman"/>
          <w:sz w:val="24"/>
          <w:szCs w:val="24"/>
        </w:rPr>
        <w:t>Salomone…</w:t>
      </w:r>
      <w:proofErr w:type="spellEnd"/>
      <w:r w:rsidR="0043401A" w:rsidRPr="00CE1E91">
        <w:rPr>
          <w:rFonts w:ascii="Times New Roman" w:hAnsi="Times New Roman" w:cs="Times New Roman"/>
          <w:sz w:val="24"/>
          <w:szCs w:val="24"/>
        </w:rPr>
        <w:t xml:space="preserve">” (1Re 5,9ss.). L’esempio di Salomone prepara la pagina evangelica che si concentra appunto su quella sapienza che è sequela del </w:t>
      </w:r>
      <w:r w:rsidR="003D5E72" w:rsidRPr="00CE1E91">
        <w:rPr>
          <w:rFonts w:ascii="Times New Roman" w:hAnsi="Times New Roman" w:cs="Times New Roman"/>
          <w:sz w:val="24"/>
          <w:szCs w:val="24"/>
        </w:rPr>
        <w:t>S</w:t>
      </w:r>
      <w:r w:rsidR="0043401A" w:rsidRPr="00CE1E91">
        <w:rPr>
          <w:rFonts w:ascii="Times New Roman" w:hAnsi="Times New Roman" w:cs="Times New Roman"/>
          <w:sz w:val="24"/>
          <w:szCs w:val="24"/>
        </w:rPr>
        <w:t xml:space="preserve">ignore Gesù liberando il cuore e le mani dall’accumulo dei beni. </w:t>
      </w:r>
      <w:r w:rsidR="00930EBB" w:rsidRPr="00CE1E91">
        <w:rPr>
          <w:rFonts w:ascii="Times New Roman" w:hAnsi="Times New Roman" w:cs="Times New Roman"/>
          <w:sz w:val="24"/>
          <w:szCs w:val="24"/>
        </w:rPr>
        <w:t xml:space="preserve"> Sapienza che è consapevolezza che il vero tesoro dell’esistenza non sta nell’accumulo ma nell’incondizionata dedizione al </w:t>
      </w:r>
      <w:r w:rsidR="001A79A9" w:rsidRPr="00CE1E91">
        <w:rPr>
          <w:rFonts w:ascii="Times New Roman" w:hAnsi="Times New Roman" w:cs="Times New Roman"/>
          <w:sz w:val="24"/>
          <w:szCs w:val="24"/>
        </w:rPr>
        <w:t>S</w:t>
      </w:r>
      <w:r w:rsidR="00930EBB" w:rsidRPr="00CE1E91">
        <w:rPr>
          <w:rFonts w:ascii="Times New Roman" w:hAnsi="Times New Roman" w:cs="Times New Roman"/>
          <w:sz w:val="24"/>
          <w:szCs w:val="24"/>
        </w:rPr>
        <w:t>ignore e alla sua parola</w:t>
      </w:r>
      <w:r w:rsidR="001A79A9" w:rsidRPr="00CE1E91">
        <w:rPr>
          <w:rFonts w:ascii="Times New Roman" w:hAnsi="Times New Roman" w:cs="Times New Roman"/>
          <w:sz w:val="24"/>
          <w:szCs w:val="24"/>
        </w:rPr>
        <w:t>: è Lui il tesoro, la perla di inestimabile valore</w:t>
      </w:r>
      <w:r w:rsidR="00930EBB" w:rsidRPr="00CE1E91">
        <w:rPr>
          <w:rFonts w:ascii="Times New Roman" w:hAnsi="Times New Roman" w:cs="Times New Roman"/>
          <w:sz w:val="24"/>
          <w:szCs w:val="24"/>
        </w:rPr>
        <w:t xml:space="preserve">. Ricordiamo come Gesù mandi </w:t>
      </w:r>
      <w:r w:rsidR="001A79A9" w:rsidRPr="00CE1E91">
        <w:rPr>
          <w:rFonts w:ascii="Times New Roman" w:hAnsi="Times New Roman" w:cs="Times New Roman"/>
          <w:sz w:val="24"/>
          <w:szCs w:val="24"/>
        </w:rPr>
        <w:t>i suoi discepoli a mani vuote, ricchi solo di quel tesoro che è la sua Parola. E infatti</w:t>
      </w:r>
      <w:r w:rsidR="00384CCC" w:rsidRPr="00CE1E91">
        <w:rPr>
          <w:rFonts w:ascii="Times New Roman" w:hAnsi="Times New Roman" w:cs="Times New Roman"/>
          <w:sz w:val="24"/>
          <w:szCs w:val="24"/>
        </w:rPr>
        <w:t xml:space="preserve"> </w:t>
      </w:r>
      <w:r w:rsidR="00EF306D" w:rsidRPr="00CE1E91">
        <w:rPr>
          <w:rFonts w:ascii="Times New Roman" w:hAnsi="Times New Roman" w:cs="Times New Roman"/>
          <w:sz w:val="24"/>
          <w:szCs w:val="24"/>
        </w:rPr>
        <w:t xml:space="preserve"> Pietro allo storpio presso la Porta Bella del tempio</w:t>
      </w:r>
      <w:r w:rsidR="001A79A9" w:rsidRPr="00CE1E91">
        <w:rPr>
          <w:rFonts w:ascii="Times New Roman" w:hAnsi="Times New Roman" w:cs="Times New Roman"/>
          <w:sz w:val="24"/>
          <w:szCs w:val="24"/>
        </w:rPr>
        <w:t>,</w:t>
      </w:r>
      <w:r w:rsidR="00EF306D" w:rsidRPr="00CE1E91">
        <w:rPr>
          <w:rFonts w:ascii="Times New Roman" w:hAnsi="Times New Roman" w:cs="Times New Roman"/>
          <w:sz w:val="24"/>
          <w:szCs w:val="24"/>
        </w:rPr>
        <w:t xml:space="preserve"> dirà</w:t>
      </w:r>
      <w:r w:rsidR="001A79A9" w:rsidRPr="00CE1E91">
        <w:rPr>
          <w:rFonts w:ascii="Times New Roman" w:hAnsi="Times New Roman" w:cs="Times New Roman"/>
          <w:sz w:val="24"/>
          <w:szCs w:val="24"/>
        </w:rPr>
        <w:t xml:space="preserve"> quasi con orgoglio: “Non possiedo né argento </w:t>
      </w:r>
      <w:proofErr w:type="spellStart"/>
      <w:r w:rsidR="001A79A9" w:rsidRPr="00CE1E91">
        <w:rPr>
          <w:rFonts w:ascii="Times New Roman" w:hAnsi="Times New Roman" w:cs="Times New Roman"/>
          <w:sz w:val="24"/>
          <w:szCs w:val="24"/>
        </w:rPr>
        <w:t>nè</w:t>
      </w:r>
      <w:proofErr w:type="spellEnd"/>
      <w:r w:rsidR="001A79A9" w:rsidRPr="00CE1E91">
        <w:rPr>
          <w:rFonts w:ascii="Times New Roman" w:hAnsi="Times New Roman" w:cs="Times New Roman"/>
          <w:sz w:val="24"/>
          <w:szCs w:val="24"/>
        </w:rPr>
        <w:t xml:space="preserve"> oro, ma quello che ho te lo do: nel nome di Gesù Cristo il Nazareno, alzati e cammina” (At 3,6).</w:t>
      </w:r>
      <w:r w:rsidRPr="00CE1E91">
        <w:rPr>
          <w:rFonts w:ascii="Times New Roman" w:hAnsi="Times New Roman" w:cs="Times New Roman"/>
          <w:sz w:val="24"/>
          <w:szCs w:val="24"/>
        </w:rPr>
        <w:t xml:space="preserve"> </w:t>
      </w:r>
      <w:r w:rsidR="003D5E72" w:rsidRPr="00CE1E91">
        <w:rPr>
          <w:rFonts w:ascii="Times New Roman" w:hAnsi="Times New Roman" w:cs="Times New Roman"/>
          <w:sz w:val="24"/>
          <w:szCs w:val="24"/>
        </w:rPr>
        <w:t>L’appello a liberarsi dal possesso percorre l’intero evangelo e ha il suo culmine nella beatitudine dei poveri, perché di essi è il Regno dei cieli. A molti questo elogio della povertà è sembrata la consacrazione della povertà stessa, invito alla rassegnata accettazione della povertà con la promessa di una beatitudine che</w:t>
      </w:r>
      <w:r w:rsidR="00EF306D" w:rsidRPr="00CE1E91">
        <w:rPr>
          <w:rFonts w:ascii="Times New Roman" w:hAnsi="Times New Roman" w:cs="Times New Roman"/>
          <w:sz w:val="24"/>
          <w:szCs w:val="24"/>
        </w:rPr>
        <w:t>,</w:t>
      </w:r>
      <w:r w:rsidR="003D5E72" w:rsidRPr="00CE1E91">
        <w:rPr>
          <w:rFonts w:ascii="Times New Roman" w:hAnsi="Times New Roman" w:cs="Times New Roman"/>
          <w:sz w:val="24"/>
          <w:szCs w:val="24"/>
        </w:rPr>
        <w:t xml:space="preserve"> nell’al di là</w:t>
      </w:r>
      <w:r w:rsidR="00EF306D" w:rsidRPr="00CE1E91">
        <w:rPr>
          <w:rFonts w:ascii="Times New Roman" w:hAnsi="Times New Roman" w:cs="Times New Roman"/>
          <w:sz w:val="24"/>
          <w:szCs w:val="24"/>
        </w:rPr>
        <w:t>,</w:t>
      </w:r>
      <w:r w:rsidR="003D5E72" w:rsidRPr="00CE1E91">
        <w:rPr>
          <w:rFonts w:ascii="Times New Roman" w:hAnsi="Times New Roman" w:cs="Times New Roman"/>
          <w:sz w:val="24"/>
          <w:szCs w:val="24"/>
        </w:rPr>
        <w:t xml:space="preserve"> ricompenserebbe chi quaggiù ha patito povertà. </w:t>
      </w:r>
      <w:r w:rsidR="004A33DF" w:rsidRPr="00CE1E91">
        <w:rPr>
          <w:rFonts w:ascii="Times New Roman" w:hAnsi="Times New Roman" w:cs="Times New Roman"/>
          <w:sz w:val="24"/>
          <w:szCs w:val="24"/>
        </w:rPr>
        <w:t>E’ invece costante nei profeti l’invettiva nei confronti di coloro che con l’ingiustizia generano povertà</w:t>
      </w:r>
      <w:r w:rsidR="001E58EE" w:rsidRPr="00CE1E91">
        <w:rPr>
          <w:rFonts w:ascii="Times New Roman" w:hAnsi="Times New Roman" w:cs="Times New Roman"/>
          <w:sz w:val="24"/>
          <w:szCs w:val="24"/>
        </w:rPr>
        <w:t>: “C’è gente  i cui denti sono come spade per divorare gli umili e i poveri eliminandoli dalla terra”. Per questo Dio è dalla parte dei poveri: “Non depredare il povero perché Dio difenderà la sua causa” (</w:t>
      </w:r>
      <w:proofErr w:type="spellStart"/>
      <w:r w:rsidR="001E58EE" w:rsidRPr="00CE1E91">
        <w:rPr>
          <w:rFonts w:ascii="Times New Roman" w:hAnsi="Times New Roman" w:cs="Times New Roman"/>
          <w:sz w:val="24"/>
          <w:szCs w:val="24"/>
        </w:rPr>
        <w:t>Prov</w:t>
      </w:r>
      <w:proofErr w:type="spellEnd"/>
      <w:r w:rsidR="001E58EE" w:rsidRPr="00CE1E91">
        <w:rPr>
          <w:rFonts w:ascii="Times New Roman" w:hAnsi="Times New Roman" w:cs="Times New Roman"/>
          <w:sz w:val="24"/>
          <w:szCs w:val="24"/>
        </w:rPr>
        <w:t xml:space="preserve"> 22,22). Anche l’espressione paradossale del vangelo odierno: “Più facile che un cammello passi per la cruna di un ago che un ricco entri nel Regno dei cieli”, vuole con linguaggio appunto paradossale, affermare l’incompatibilità tra </w:t>
      </w:r>
      <w:r w:rsidR="00EF306D" w:rsidRPr="00CE1E91">
        <w:rPr>
          <w:rFonts w:ascii="Times New Roman" w:hAnsi="Times New Roman" w:cs="Times New Roman"/>
          <w:sz w:val="24"/>
          <w:szCs w:val="24"/>
        </w:rPr>
        <w:t xml:space="preserve">accumulo delle </w:t>
      </w:r>
      <w:r w:rsidR="001E58EE" w:rsidRPr="00CE1E91">
        <w:rPr>
          <w:rFonts w:ascii="Times New Roman" w:hAnsi="Times New Roman" w:cs="Times New Roman"/>
          <w:sz w:val="24"/>
          <w:szCs w:val="24"/>
        </w:rPr>
        <w:t>ricchezz</w:t>
      </w:r>
      <w:r w:rsidR="00EF306D" w:rsidRPr="00CE1E91">
        <w:rPr>
          <w:rFonts w:ascii="Times New Roman" w:hAnsi="Times New Roman" w:cs="Times New Roman"/>
          <w:sz w:val="24"/>
          <w:szCs w:val="24"/>
        </w:rPr>
        <w:t>e</w:t>
      </w:r>
      <w:r w:rsidR="001E58EE" w:rsidRPr="00CE1E91">
        <w:rPr>
          <w:rFonts w:ascii="Times New Roman" w:hAnsi="Times New Roman" w:cs="Times New Roman"/>
          <w:sz w:val="24"/>
          <w:szCs w:val="24"/>
        </w:rPr>
        <w:t xml:space="preserve"> e Regno di Dio. Alla domanda: Che cosa è decisivo nella vita? L’Evangelo odierno risponde con l’appello ad una scelta, sottolineo una scelta, di povertà. Se è maledizione la povertà creata dall’ingiustizia sociale è benedizione la povertà che ognuno di noi può scegliere, anzi deve scegliere se vuole essere discepolo del Signore. Se quindi la pagina evangelica non ci esonera dal compito di riconoscere le ragioni della povertà, le responsabilità e quindi le doverose riforme che assicurino maggiore equità, sempre la pagina evangelica impegna ognuno di noi ad uno stile di vita sobrio, alieno dallo spreco e dal lusso, capace di vera condivisione. Proprio la parte conclusiva dell’evangelo odierno promette a chi compie scelte di libertà dal possesso, dall’attaccamento a</w:t>
      </w:r>
      <w:r w:rsidR="00CC51C2" w:rsidRPr="00CE1E91">
        <w:rPr>
          <w:rFonts w:ascii="Times New Roman" w:hAnsi="Times New Roman" w:cs="Times New Roman"/>
          <w:sz w:val="24"/>
          <w:szCs w:val="24"/>
        </w:rPr>
        <w:t>lle</w:t>
      </w:r>
      <w:r w:rsidR="001E58EE" w:rsidRPr="00CE1E91">
        <w:rPr>
          <w:rFonts w:ascii="Times New Roman" w:hAnsi="Times New Roman" w:cs="Times New Roman"/>
          <w:sz w:val="24"/>
          <w:szCs w:val="24"/>
        </w:rPr>
        <w:t xml:space="preserve"> cose e </w:t>
      </w:r>
      <w:r w:rsidR="00CC51C2" w:rsidRPr="00CE1E91">
        <w:rPr>
          <w:rFonts w:ascii="Times New Roman" w:hAnsi="Times New Roman" w:cs="Times New Roman"/>
          <w:sz w:val="24"/>
          <w:szCs w:val="24"/>
        </w:rPr>
        <w:t xml:space="preserve">alle </w:t>
      </w:r>
      <w:r w:rsidR="001E58EE" w:rsidRPr="00CE1E91">
        <w:rPr>
          <w:rFonts w:ascii="Times New Roman" w:hAnsi="Times New Roman" w:cs="Times New Roman"/>
          <w:sz w:val="24"/>
          <w:szCs w:val="24"/>
        </w:rPr>
        <w:t>persone, il centuplo. La scelta di uno stile di vita libero dal possesso assicura una pienezza di vita, il centuplo appunto, non una mortificante miseria ma una pienezza esaltante.</w:t>
      </w:r>
    </w:p>
    <w:p w:rsidR="001055B9" w:rsidRPr="00CE1E91" w:rsidRDefault="001E58EE" w:rsidP="00CE1E91">
      <w:pPr>
        <w:widowControl w:val="0"/>
        <w:spacing w:after="0"/>
        <w:jc w:val="both"/>
        <w:rPr>
          <w:sz w:val="24"/>
          <w:szCs w:val="24"/>
        </w:rPr>
      </w:pPr>
      <w:r w:rsidRPr="00CE1E91">
        <w:rPr>
          <w:rFonts w:ascii="Times New Roman" w:hAnsi="Times New Roman" w:cs="Times New Roman"/>
          <w:sz w:val="24"/>
          <w:szCs w:val="24"/>
        </w:rPr>
        <w:t xml:space="preserve">Questo stile di vita proposto alla libertà di ogni discepolo del Signore deve essere anche opzione preferenziale della Chiesa. Il Concilio, in un testo davvero decisivo, ha scritto: “Come Cristo ha compiuto la redenzione attraverso la povertà e le persecuzioni, così pure la Chiesa  è chiamata a prendere la stessa via per comunicare agli uomini i frutti della salvezza” (Lumen </w:t>
      </w:r>
      <w:proofErr w:type="spellStart"/>
      <w:r w:rsidRPr="00CE1E91">
        <w:rPr>
          <w:rFonts w:ascii="Times New Roman" w:hAnsi="Times New Roman" w:cs="Times New Roman"/>
          <w:sz w:val="24"/>
          <w:szCs w:val="24"/>
        </w:rPr>
        <w:t>gentium</w:t>
      </w:r>
      <w:proofErr w:type="spellEnd"/>
      <w:r w:rsidRPr="00CE1E91">
        <w:rPr>
          <w:rFonts w:ascii="Times New Roman" w:hAnsi="Times New Roman" w:cs="Times New Roman"/>
          <w:sz w:val="24"/>
          <w:szCs w:val="24"/>
        </w:rPr>
        <w:t xml:space="preserve"> n.8). La scelta di povertà da parte della Chiesa e di tutti i suoi membri non è quindi solo atteggiamento morale di distacco e libertà dalle cose, più profondamente è imitazione coerente del suo Signore che “da ricco che era si è fatto povero” (2Cor 8,9). </w:t>
      </w:r>
      <w:r w:rsidR="00CC51C2" w:rsidRPr="00CE1E91">
        <w:rPr>
          <w:rFonts w:ascii="Times New Roman" w:hAnsi="Times New Roman" w:cs="Times New Roman"/>
          <w:sz w:val="24"/>
          <w:szCs w:val="24"/>
        </w:rPr>
        <w:t>Si tratta</w:t>
      </w:r>
      <w:r w:rsidRPr="00CE1E91">
        <w:rPr>
          <w:rFonts w:ascii="Times New Roman" w:hAnsi="Times New Roman" w:cs="Times New Roman"/>
          <w:sz w:val="24"/>
          <w:szCs w:val="24"/>
        </w:rPr>
        <w:t>, per la chiesa e per ogni discepolo del Signore</w:t>
      </w:r>
      <w:r w:rsidR="00EF306D" w:rsidRPr="00CE1E91">
        <w:rPr>
          <w:rFonts w:ascii="Times New Roman" w:hAnsi="Times New Roman" w:cs="Times New Roman"/>
          <w:sz w:val="24"/>
          <w:szCs w:val="24"/>
        </w:rPr>
        <w:t>,</w:t>
      </w:r>
      <w:r w:rsidRPr="00CE1E91">
        <w:rPr>
          <w:rFonts w:ascii="Times New Roman" w:hAnsi="Times New Roman" w:cs="Times New Roman"/>
          <w:sz w:val="24"/>
          <w:szCs w:val="24"/>
        </w:rPr>
        <w:t xml:space="preserve"> d’essere fedel</w:t>
      </w:r>
      <w:r w:rsidR="00EF306D" w:rsidRPr="00CE1E91">
        <w:rPr>
          <w:rFonts w:ascii="Times New Roman" w:hAnsi="Times New Roman" w:cs="Times New Roman"/>
          <w:sz w:val="24"/>
          <w:szCs w:val="24"/>
        </w:rPr>
        <w:t xml:space="preserve">i al </w:t>
      </w:r>
      <w:r w:rsidRPr="00CE1E91">
        <w:rPr>
          <w:rFonts w:ascii="Times New Roman" w:hAnsi="Times New Roman" w:cs="Times New Roman"/>
          <w:sz w:val="24"/>
          <w:szCs w:val="24"/>
        </w:rPr>
        <w:t xml:space="preserve"> Signore che “spogliò se stesso, prendendo la natura di un servo” (Fil 2,6-7).  Dobbiamo essere grati a Dio per aver donato alla sua Chiesa un pastore come papa Francesco </w:t>
      </w:r>
      <w:r w:rsidRPr="00CE1E91">
        <w:rPr>
          <w:rFonts w:ascii="Times New Roman" w:hAnsi="Times New Roman" w:cs="Times New Roman"/>
          <w:sz w:val="24"/>
          <w:szCs w:val="24"/>
        </w:rPr>
        <w:lastRenderedPageBreak/>
        <w:t>che ha fatto del messaggio evangelico della povertà un tema decisivo del suo pontificato: “</w:t>
      </w:r>
      <w:r w:rsidRPr="00CE1E91">
        <w:rPr>
          <w:rFonts w:ascii="Times New Roman" w:hAnsi="Times New Roman" w:cs="Times New Roman"/>
          <w:i/>
          <w:iCs/>
          <w:sz w:val="24"/>
          <w:szCs w:val="24"/>
        </w:rPr>
        <w:t>Ah come vorrei una chiesa povera e per i poveri”</w:t>
      </w:r>
      <w:r w:rsidRPr="00CE1E91">
        <w:rPr>
          <w:rFonts w:ascii="Times New Roman" w:hAnsi="Times New Roman" w:cs="Times New Roman"/>
          <w:sz w:val="24"/>
          <w:szCs w:val="24"/>
        </w:rPr>
        <w:t xml:space="preserve">. C’è in questo accorato auspicio  uno dei grandi obbiettivi di papa Francesco, seguace del ‘poverello di Assisi’.   </w:t>
      </w:r>
      <w:r w:rsidR="00EF306D" w:rsidRPr="00CE1E91">
        <w:rPr>
          <w:rFonts w:ascii="Times New Roman" w:hAnsi="Times New Roman" w:cs="Times New Roman"/>
          <w:sz w:val="24"/>
          <w:szCs w:val="24"/>
        </w:rPr>
        <w:t xml:space="preserve">La pagina evangelica riporta alla mia memoria un episodio della vita di don Lorenzo </w:t>
      </w:r>
      <w:proofErr w:type="spellStart"/>
      <w:r w:rsidR="00EF306D" w:rsidRPr="00CE1E91">
        <w:rPr>
          <w:rFonts w:ascii="Times New Roman" w:hAnsi="Times New Roman" w:cs="Times New Roman"/>
          <w:sz w:val="24"/>
          <w:szCs w:val="24"/>
        </w:rPr>
        <w:t>Milani</w:t>
      </w:r>
      <w:proofErr w:type="spellEnd"/>
      <w:r w:rsidR="00EF306D" w:rsidRPr="00CE1E91">
        <w:rPr>
          <w:rFonts w:ascii="Times New Roman" w:hAnsi="Times New Roman" w:cs="Times New Roman"/>
          <w:sz w:val="24"/>
          <w:szCs w:val="24"/>
        </w:rPr>
        <w:t xml:space="preserve">, il prete fiorentino che dedicò la vita alla cura di un piccolo gruppo di ragazzi </w:t>
      </w:r>
      <w:r w:rsidR="00CC51C2" w:rsidRPr="00CE1E91">
        <w:rPr>
          <w:rFonts w:ascii="Times New Roman" w:hAnsi="Times New Roman" w:cs="Times New Roman"/>
          <w:sz w:val="24"/>
          <w:szCs w:val="24"/>
        </w:rPr>
        <w:t xml:space="preserve">a </w:t>
      </w:r>
      <w:proofErr w:type="spellStart"/>
      <w:r w:rsidR="00CC51C2" w:rsidRPr="00CE1E91">
        <w:rPr>
          <w:rFonts w:ascii="Times New Roman" w:hAnsi="Times New Roman" w:cs="Times New Roman"/>
          <w:sz w:val="24"/>
          <w:szCs w:val="24"/>
        </w:rPr>
        <w:t>Barbiana</w:t>
      </w:r>
      <w:proofErr w:type="spellEnd"/>
      <w:r w:rsidR="00CC51C2" w:rsidRPr="00CE1E91">
        <w:rPr>
          <w:rFonts w:ascii="Times New Roman" w:hAnsi="Times New Roman" w:cs="Times New Roman"/>
          <w:sz w:val="24"/>
          <w:szCs w:val="24"/>
        </w:rPr>
        <w:t xml:space="preserve">, </w:t>
      </w:r>
      <w:r w:rsidR="00EF306D" w:rsidRPr="00CE1E91">
        <w:rPr>
          <w:rFonts w:ascii="Times New Roman" w:hAnsi="Times New Roman" w:cs="Times New Roman"/>
          <w:sz w:val="24"/>
          <w:szCs w:val="24"/>
        </w:rPr>
        <w:t>sull’Appennino toscano</w:t>
      </w:r>
      <w:r w:rsidR="008841B7" w:rsidRPr="00CE1E91">
        <w:rPr>
          <w:rFonts w:ascii="Times New Roman" w:hAnsi="Times New Roman" w:cs="Times New Roman"/>
          <w:sz w:val="24"/>
          <w:szCs w:val="24"/>
        </w:rPr>
        <w:t xml:space="preserve">. </w:t>
      </w:r>
      <w:r w:rsidR="00EF306D" w:rsidRPr="00CE1E91">
        <w:rPr>
          <w:rFonts w:ascii="Times New Roman" w:hAnsi="Times New Roman" w:cs="Times New Roman"/>
          <w:sz w:val="24"/>
          <w:szCs w:val="24"/>
        </w:rPr>
        <w:t xml:space="preserve"> Sul letto di morte don Lorenzo disse: “Qui in questa stanza sta compiendosi un miracolo: il cammello passa per la cruna dell’ago”. Lui di agiata e prestigiosa famigli</w:t>
      </w:r>
      <w:r w:rsidR="00E174BE" w:rsidRPr="00CE1E91">
        <w:rPr>
          <w:rFonts w:ascii="Times New Roman" w:hAnsi="Times New Roman" w:cs="Times New Roman"/>
          <w:sz w:val="24"/>
          <w:szCs w:val="24"/>
        </w:rPr>
        <w:t>a</w:t>
      </w:r>
      <w:r w:rsidR="00EF306D" w:rsidRPr="00CE1E91">
        <w:rPr>
          <w:rFonts w:ascii="Times New Roman" w:hAnsi="Times New Roman" w:cs="Times New Roman"/>
          <w:sz w:val="24"/>
          <w:szCs w:val="24"/>
        </w:rPr>
        <w:t xml:space="preserve"> borghese si era davvero fatto povero con i poveri e così realizzava la parola evangelica: sì il cammello può passare nella cruna dell’ago, se le mani e il cuore sono davvero liberi dal possesso e aperti nel dono di </w:t>
      </w:r>
      <w:proofErr w:type="spellStart"/>
      <w:r w:rsidR="00CC51C2" w:rsidRPr="00CE1E91">
        <w:rPr>
          <w:rFonts w:ascii="Times New Roman" w:hAnsi="Times New Roman" w:cs="Times New Roman"/>
          <w:sz w:val="24"/>
          <w:szCs w:val="24"/>
        </w:rPr>
        <w:t>s</w:t>
      </w:r>
      <w:r w:rsidR="00EF306D" w:rsidRPr="00CE1E91">
        <w:rPr>
          <w:rFonts w:ascii="Times New Roman" w:hAnsi="Times New Roman" w:cs="Times New Roman"/>
          <w:sz w:val="24"/>
          <w:szCs w:val="24"/>
        </w:rPr>
        <w:t>è</w:t>
      </w:r>
      <w:proofErr w:type="spellEnd"/>
      <w:r w:rsidR="00EF306D" w:rsidRPr="00CE1E91">
        <w:rPr>
          <w:rFonts w:ascii="Times New Roman" w:hAnsi="Times New Roman" w:cs="Times New Roman"/>
          <w:sz w:val="24"/>
          <w:szCs w:val="24"/>
        </w:rPr>
        <w:t>.</w:t>
      </w:r>
      <w:r w:rsidR="003D5E72" w:rsidRPr="00CE1E91">
        <w:rPr>
          <w:sz w:val="24"/>
          <w:szCs w:val="24"/>
        </w:rPr>
        <w:t xml:space="preserve"> </w:t>
      </w:r>
    </w:p>
    <w:sectPr w:rsidR="001055B9" w:rsidRPr="00CE1E91" w:rsidSect="001055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C62E9"/>
    <w:rsid w:val="00047AE3"/>
    <w:rsid w:val="001055B9"/>
    <w:rsid w:val="001446F6"/>
    <w:rsid w:val="001A79A9"/>
    <w:rsid w:val="001C62E9"/>
    <w:rsid w:val="001E58EE"/>
    <w:rsid w:val="00293AA6"/>
    <w:rsid w:val="00326C0E"/>
    <w:rsid w:val="00384CCC"/>
    <w:rsid w:val="003D5E72"/>
    <w:rsid w:val="0043401A"/>
    <w:rsid w:val="004A33DF"/>
    <w:rsid w:val="004D2675"/>
    <w:rsid w:val="004E7CC3"/>
    <w:rsid w:val="006C705B"/>
    <w:rsid w:val="007C19BD"/>
    <w:rsid w:val="00803067"/>
    <w:rsid w:val="008841B7"/>
    <w:rsid w:val="00887F28"/>
    <w:rsid w:val="00930EBB"/>
    <w:rsid w:val="00A679C1"/>
    <w:rsid w:val="00BE67DB"/>
    <w:rsid w:val="00CC51C2"/>
    <w:rsid w:val="00CD6D4E"/>
    <w:rsid w:val="00CE1E91"/>
    <w:rsid w:val="00D33566"/>
    <w:rsid w:val="00DC445E"/>
    <w:rsid w:val="00E174BE"/>
    <w:rsid w:val="00E40F11"/>
    <w:rsid w:val="00EF306D"/>
    <w:rsid w:val="00F26E44"/>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55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Paolo</dc:creator>
  <cp:lastModifiedBy>Parrocchia San Giovanni Laterano</cp:lastModifiedBy>
  <cp:revision>2</cp:revision>
  <cp:lastPrinted>2016-07-22T08:39:00Z</cp:lastPrinted>
  <dcterms:created xsi:type="dcterms:W3CDTF">2016-07-22T08:41:00Z</dcterms:created>
  <dcterms:modified xsi:type="dcterms:W3CDTF">2016-07-22T08:41:00Z</dcterms:modified>
</cp:coreProperties>
</file>